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3D" w:rsidRDefault="0097578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F3D78" w:rsidRDefault="007F3D78" w:rsidP="0083773C">
      <w:pPr>
        <w:tabs>
          <w:tab w:val="left" w:pos="1560"/>
        </w:tabs>
        <w:contextualSpacing/>
        <w:jc w:val="both"/>
        <w:rPr>
          <w:rFonts w:ascii="Calibri" w:hAnsi="Calibri" w:cs="Calibri"/>
          <w:sz w:val="26"/>
          <w:szCs w:val="26"/>
        </w:rPr>
      </w:pPr>
    </w:p>
    <w:p w:rsidR="0083773C" w:rsidRDefault="0083773C" w:rsidP="00EB7FDC">
      <w:pPr>
        <w:tabs>
          <w:tab w:val="left" w:pos="1560"/>
        </w:tabs>
        <w:contextualSpacing/>
        <w:jc w:val="both"/>
        <w:rPr>
          <w:rFonts w:ascii="Calibri" w:hAnsi="Calibri" w:cs="Calibri"/>
          <w:sz w:val="26"/>
          <w:szCs w:val="26"/>
        </w:rPr>
      </w:pPr>
    </w:p>
    <w:p w:rsidR="00371AFC" w:rsidRDefault="00371AFC" w:rsidP="00371AFC">
      <w:pPr>
        <w:spacing w:line="242" w:lineRule="auto"/>
        <w:contextualSpacing/>
        <w:jc w:val="both"/>
        <w:rPr>
          <w:rFonts w:ascii="Calibri" w:hAnsi="Calibri" w:cs="Calibri"/>
          <w:sz w:val="26"/>
          <w:szCs w:val="26"/>
        </w:rPr>
      </w:pPr>
    </w:p>
    <w:p w:rsidR="006B2DB6" w:rsidRDefault="006B2DB6" w:rsidP="006B2DB6">
      <w:pPr>
        <w:spacing w:line="242" w:lineRule="auto"/>
        <w:contextualSpacing/>
        <w:jc w:val="both"/>
        <w:rPr>
          <w:rFonts w:ascii="Calibri" w:hAnsi="Calibri" w:cs="Calibri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71BF2D5" wp14:editId="1427DE55">
            <wp:extent cx="5937250" cy="2813050"/>
            <wp:effectExtent l="0" t="0" r="25400" b="254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811B8" w:rsidRPr="003C353D" w:rsidRDefault="00C811B8" w:rsidP="00C811B8">
      <w:pPr>
        <w:spacing w:line="242" w:lineRule="auto"/>
        <w:ind w:firstLine="993"/>
        <w:contextualSpacing/>
        <w:jc w:val="both"/>
        <w:rPr>
          <w:rFonts w:ascii="Calibri" w:hAnsi="Calibri" w:cs="Calibri"/>
          <w:sz w:val="26"/>
          <w:szCs w:val="26"/>
        </w:rPr>
      </w:pPr>
      <w:proofErr w:type="gramStart"/>
      <w:r w:rsidRPr="003C353D">
        <w:rPr>
          <w:rFonts w:ascii="Calibri" w:hAnsi="Calibri" w:cs="Calibri"/>
          <w:sz w:val="26"/>
          <w:szCs w:val="26"/>
        </w:rPr>
        <w:t>На 1 января 2025 года объем государственного долга составлял 13 590 млн. рублей</w:t>
      </w:r>
      <w:r w:rsidR="006B2DB6">
        <w:rPr>
          <w:rFonts w:ascii="Calibri" w:hAnsi="Calibri" w:cs="Calibri"/>
          <w:sz w:val="26"/>
          <w:szCs w:val="26"/>
        </w:rPr>
        <w:t>, или 23 % налоговых и неналоговых доходов областного бюджета</w:t>
      </w:r>
      <w:r w:rsidRPr="003C353D">
        <w:rPr>
          <w:rFonts w:ascii="Calibri" w:hAnsi="Calibri" w:cs="Calibri"/>
          <w:sz w:val="26"/>
          <w:szCs w:val="26"/>
        </w:rPr>
        <w:t>, в течение года он сократился на 5 988 млн. рублей, или на 44%, в том числе за счет списания задолженности по отдельным бюджетным кредитам в сумме 5 473 млн. рублей в объеме фактически направленных высвобождаемых средств на меры социальной</w:t>
      </w:r>
      <w:proofErr w:type="gramEnd"/>
      <w:r w:rsidRPr="003C353D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Pr="003C353D">
        <w:rPr>
          <w:rFonts w:ascii="Calibri" w:hAnsi="Calibri" w:cs="Calibri"/>
          <w:sz w:val="26"/>
          <w:szCs w:val="26"/>
        </w:rPr>
        <w:t>поддержки, связанные с проведением СВО, с 01.03.2024 по</w:t>
      </w:r>
      <w:proofErr w:type="gramEnd"/>
      <w:r w:rsidRPr="003C353D">
        <w:rPr>
          <w:rFonts w:ascii="Calibri" w:hAnsi="Calibri" w:cs="Calibri"/>
          <w:sz w:val="26"/>
          <w:szCs w:val="26"/>
        </w:rPr>
        <w:t xml:space="preserve"> 31.08.2025 года, погашения 874 млн. рублей бюджетных кредитов в соответствии с графиками, определенными в заключенных соглашениях, а также привлечения инфраструктурного бюджетного кредита на строительство школы на территории бывшего аэропорта по ул. Амосова в Советском районе г. Брянска в сумме 359 млн. рублей.</w:t>
      </w:r>
    </w:p>
    <w:p w:rsidR="0097578E" w:rsidRPr="003C353D" w:rsidRDefault="0097578E" w:rsidP="001F7F7F">
      <w:pPr>
        <w:tabs>
          <w:tab w:val="left" w:pos="1560"/>
        </w:tabs>
        <w:ind w:firstLine="851"/>
        <w:contextualSpacing/>
        <w:jc w:val="both"/>
        <w:rPr>
          <w:rFonts w:ascii="Calibri" w:hAnsi="Calibri" w:cs="Calibri"/>
          <w:sz w:val="26"/>
          <w:szCs w:val="26"/>
        </w:rPr>
      </w:pPr>
      <w:proofErr w:type="gramStart"/>
      <w:r w:rsidRPr="003C353D">
        <w:rPr>
          <w:rFonts w:ascii="Calibri" w:hAnsi="Calibri" w:cs="Calibri"/>
          <w:sz w:val="26"/>
          <w:szCs w:val="26"/>
        </w:rPr>
        <w:t>По состоянию на 1 января 2026 года объем государственного долга Брянской области составляет 7 602 млн. рублей</w:t>
      </w:r>
      <w:r w:rsidR="006B2DB6">
        <w:rPr>
          <w:rFonts w:ascii="Calibri" w:hAnsi="Calibri" w:cs="Calibri"/>
          <w:sz w:val="26"/>
          <w:szCs w:val="26"/>
        </w:rPr>
        <w:t xml:space="preserve">, или 12 % </w:t>
      </w:r>
      <w:r w:rsidR="006B2DB6">
        <w:rPr>
          <w:rFonts w:ascii="Calibri" w:hAnsi="Calibri" w:cs="Calibri"/>
          <w:sz w:val="26"/>
          <w:szCs w:val="26"/>
        </w:rPr>
        <w:t>налоговых и неналоговых доходов</w:t>
      </w:r>
      <w:r w:rsidRPr="003C353D">
        <w:rPr>
          <w:rFonts w:ascii="Calibri" w:hAnsi="Calibri" w:cs="Calibri"/>
          <w:sz w:val="26"/>
          <w:szCs w:val="26"/>
        </w:rPr>
        <w:t xml:space="preserve"> и полностью состоит из бюджетных кредитов, из которых 2 633 млн. рублей </w:t>
      </w:r>
      <w:r w:rsidR="003D65E6" w:rsidRPr="003C353D">
        <w:rPr>
          <w:rFonts w:ascii="Calibri" w:hAnsi="Calibri" w:cs="Calibri"/>
          <w:sz w:val="26"/>
          <w:szCs w:val="26"/>
        </w:rPr>
        <w:t xml:space="preserve">реструктурированные бюджетные кредиты, привлеченные под 0,1 % годовых, возврат которых осуществляется с учетом списания задолженности перед Российской Федерацией </w:t>
      </w:r>
      <w:r w:rsidRPr="003C353D">
        <w:rPr>
          <w:rFonts w:ascii="Calibri" w:hAnsi="Calibri" w:cs="Calibri"/>
          <w:sz w:val="26"/>
          <w:szCs w:val="26"/>
        </w:rPr>
        <w:t xml:space="preserve">(35%) и 4 969  млн. рублей – </w:t>
      </w:r>
      <w:r w:rsidR="003D65E6" w:rsidRPr="003C353D">
        <w:rPr>
          <w:rFonts w:ascii="Calibri" w:hAnsi="Calibri" w:cs="Calibri"/>
          <w:sz w:val="26"/>
          <w:szCs w:val="26"/>
        </w:rPr>
        <w:t>бюджетные кредиты</w:t>
      </w:r>
      <w:proofErr w:type="gramEnd"/>
      <w:r w:rsidR="003D65E6" w:rsidRPr="003C353D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="003D65E6" w:rsidRPr="003C353D">
        <w:rPr>
          <w:rFonts w:ascii="Calibri" w:hAnsi="Calibri" w:cs="Calibri"/>
          <w:sz w:val="26"/>
          <w:szCs w:val="26"/>
        </w:rPr>
        <w:t>на инфраструктурное развитие региона</w:t>
      </w:r>
      <w:proofErr w:type="gramEnd"/>
      <w:r w:rsidR="003D65E6" w:rsidRPr="003C353D">
        <w:rPr>
          <w:rFonts w:ascii="Calibri" w:hAnsi="Calibri" w:cs="Calibri"/>
          <w:sz w:val="26"/>
          <w:szCs w:val="26"/>
        </w:rPr>
        <w:t xml:space="preserve">, </w:t>
      </w:r>
      <w:proofErr w:type="gramStart"/>
      <w:r w:rsidR="003D65E6" w:rsidRPr="003C353D">
        <w:rPr>
          <w:rFonts w:ascii="Calibri" w:hAnsi="Calibri" w:cs="Calibri"/>
          <w:sz w:val="26"/>
          <w:szCs w:val="26"/>
        </w:rPr>
        <w:t xml:space="preserve">привлеченные </w:t>
      </w:r>
      <w:r w:rsidRPr="003C353D">
        <w:rPr>
          <w:rFonts w:ascii="Calibri" w:hAnsi="Calibri" w:cs="Calibri"/>
          <w:sz w:val="26"/>
          <w:szCs w:val="26"/>
        </w:rPr>
        <w:t>под</w:t>
      </w:r>
      <w:proofErr w:type="gramEnd"/>
      <w:r w:rsidRPr="003C353D">
        <w:rPr>
          <w:rFonts w:ascii="Calibri" w:hAnsi="Calibri" w:cs="Calibri"/>
          <w:sz w:val="26"/>
          <w:szCs w:val="26"/>
        </w:rPr>
        <w:t xml:space="preserve"> 3% </w:t>
      </w:r>
      <w:proofErr w:type="gramStart"/>
      <w:r w:rsidRPr="003C353D">
        <w:rPr>
          <w:rFonts w:ascii="Calibri" w:hAnsi="Calibri" w:cs="Calibri"/>
          <w:sz w:val="26"/>
          <w:szCs w:val="26"/>
        </w:rPr>
        <w:t>годовых</w:t>
      </w:r>
      <w:proofErr w:type="gramEnd"/>
      <w:r w:rsidRPr="003C353D">
        <w:rPr>
          <w:rFonts w:ascii="Calibri" w:hAnsi="Calibri" w:cs="Calibri"/>
          <w:sz w:val="26"/>
          <w:szCs w:val="26"/>
        </w:rPr>
        <w:t xml:space="preserve"> (65%).</w:t>
      </w:r>
    </w:p>
    <w:p w:rsidR="00F05CA7" w:rsidRPr="003C353D" w:rsidRDefault="00F05CA7" w:rsidP="0097578E">
      <w:pPr>
        <w:spacing w:line="242" w:lineRule="auto"/>
        <w:ind w:firstLine="993"/>
        <w:contextualSpacing/>
        <w:jc w:val="both"/>
        <w:rPr>
          <w:rFonts w:ascii="Calibri" w:hAnsi="Calibri" w:cs="Calibri"/>
          <w:sz w:val="26"/>
          <w:szCs w:val="26"/>
        </w:rPr>
      </w:pPr>
      <w:r w:rsidRPr="003C353D">
        <w:rPr>
          <w:rFonts w:ascii="Calibri" w:hAnsi="Calibri" w:cs="Calibri"/>
          <w:sz w:val="26"/>
          <w:szCs w:val="26"/>
        </w:rPr>
        <w:t>По состоянию на 1 января 2027 года госдолг прогнозируется в объеме 7 394 млн. рублей</w:t>
      </w:r>
      <w:r w:rsidR="006B2DB6">
        <w:rPr>
          <w:rFonts w:ascii="Calibri" w:hAnsi="Calibri" w:cs="Calibri"/>
          <w:sz w:val="26"/>
          <w:szCs w:val="26"/>
        </w:rPr>
        <w:t xml:space="preserve">, или 11 % </w:t>
      </w:r>
      <w:r w:rsidR="006B2DB6">
        <w:rPr>
          <w:rFonts w:ascii="Calibri" w:hAnsi="Calibri" w:cs="Calibri"/>
          <w:sz w:val="26"/>
          <w:szCs w:val="26"/>
        </w:rPr>
        <w:t>налоговых и неналоговых доходов</w:t>
      </w:r>
      <w:r w:rsidR="006B2DB6">
        <w:rPr>
          <w:rFonts w:ascii="Calibri" w:hAnsi="Calibri" w:cs="Calibri"/>
          <w:sz w:val="26"/>
          <w:szCs w:val="26"/>
        </w:rPr>
        <w:t xml:space="preserve"> областного бюджета</w:t>
      </w:r>
      <w:r w:rsidRPr="003C353D">
        <w:rPr>
          <w:rFonts w:ascii="Calibri" w:hAnsi="Calibri" w:cs="Calibri"/>
          <w:sz w:val="26"/>
          <w:szCs w:val="26"/>
        </w:rPr>
        <w:t>.</w:t>
      </w:r>
    </w:p>
    <w:p w:rsidR="00F05CA7" w:rsidRPr="003C353D" w:rsidRDefault="00F05CA7" w:rsidP="00F05CA7">
      <w:pPr>
        <w:ind w:firstLine="709"/>
        <w:contextualSpacing/>
        <w:jc w:val="both"/>
        <w:rPr>
          <w:rFonts w:ascii="Calibri" w:hAnsi="Calibri" w:cs="Calibri"/>
          <w:sz w:val="26"/>
          <w:szCs w:val="26"/>
        </w:rPr>
      </w:pPr>
      <w:r w:rsidRPr="003C353D">
        <w:rPr>
          <w:rFonts w:ascii="Calibri" w:hAnsi="Calibri" w:cs="Calibri"/>
          <w:sz w:val="26"/>
          <w:szCs w:val="26"/>
        </w:rPr>
        <w:t xml:space="preserve">В 2026 году запланировано привлечение казначейского инфраструктурного кредита в сумме 693 млн. рублей: 338 млн. рублей на завершение строительства школы на территории бывшего аэропорта по ул. Амосова в Советском районе г. Брянска и 355 млн. рублей на  реконструкцию </w:t>
      </w:r>
      <w:proofErr w:type="spellStart"/>
      <w:r w:rsidRPr="003C353D">
        <w:rPr>
          <w:rFonts w:ascii="Calibri" w:hAnsi="Calibri" w:cs="Calibri"/>
          <w:sz w:val="26"/>
          <w:szCs w:val="26"/>
        </w:rPr>
        <w:t>Бордовичских</w:t>
      </w:r>
      <w:proofErr w:type="spellEnd"/>
      <w:r w:rsidRPr="003C353D">
        <w:rPr>
          <w:rFonts w:ascii="Calibri" w:hAnsi="Calibri" w:cs="Calibri"/>
          <w:sz w:val="26"/>
          <w:szCs w:val="26"/>
        </w:rPr>
        <w:t xml:space="preserve"> водозаборных сооружений в г. Брянске.</w:t>
      </w:r>
    </w:p>
    <w:p w:rsidR="00F10362" w:rsidRDefault="00F05CA7" w:rsidP="00F10362">
      <w:pPr>
        <w:ind w:firstLine="709"/>
        <w:contextualSpacing/>
        <w:jc w:val="both"/>
        <w:rPr>
          <w:rFonts w:ascii="Calibri" w:hAnsi="Calibri" w:cs="Calibri"/>
          <w:sz w:val="26"/>
          <w:szCs w:val="26"/>
        </w:rPr>
      </w:pPr>
      <w:r w:rsidRPr="003C353D">
        <w:rPr>
          <w:rFonts w:ascii="Calibri" w:hAnsi="Calibri" w:cs="Calibri"/>
          <w:sz w:val="26"/>
          <w:szCs w:val="26"/>
        </w:rPr>
        <w:lastRenderedPageBreak/>
        <w:t xml:space="preserve">Погашение части долга по бюджетным кредитам, запланировано в сумме </w:t>
      </w:r>
      <w:r w:rsidR="00F10362" w:rsidRPr="003C353D">
        <w:rPr>
          <w:rFonts w:ascii="Calibri" w:hAnsi="Calibri" w:cs="Calibri"/>
          <w:sz w:val="26"/>
          <w:szCs w:val="26"/>
        </w:rPr>
        <w:t>901 млн. рублей</w:t>
      </w:r>
      <w:r w:rsidRPr="003C353D">
        <w:rPr>
          <w:rFonts w:ascii="Calibri" w:hAnsi="Calibri" w:cs="Calibri"/>
          <w:sz w:val="26"/>
          <w:szCs w:val="26"/>
        </w:rPr>
        <w:t xml:space="preserve"> в объемах, установленных в соответствующих согла</w:t>
      </w:r>
      <w:r w:rsidR="00565F96" w:rsidRPr="003C353D">
        <w:rPr>
          <w:rFonts w:ascii="Calibri" w:hAnsi="Calibri" w:cs="Calibri"/>
          <w:sz w:val="26"/>
          <w:szCs w:val="26"/>
        </w:rPr>
        <w:t>шениях о предоставлении кредитов</w:t>
      </w:r>
      <w:r w:rsidRPr="003C353D">
        <w:rPr>
          <w:rFonts w:ascii="Calibri" w:hAnsi="Calibri" w:cs="Calibri"/>
          <w:sz w:val="26"/>
          <w:szCs w:val="26"/>
        </w:rPr>
        <w:t>.</w:t>
      </w:r>
    </w:p>
    <w:p w:rsidR="006B2DB6" w:rsidRDefault="006B2DB6" w:rsidP="00F10362">
      <w:pPr>
        <w:ind w:firstLine="709"/>
        <w:contextualSpacing/>
        <w:jc w:val="both"/>
        <w:rPr>
          <w:rFonts w:ascii="Calibri" w:hAnsi="Calibri" w:cs="Calibri"/>
          <w:sz w:val="26"/>
          <w:szCs w:val="26"/>
        </w:rPr>
      </w:pPr>
    </w:p>
    <w:p w:rsidR="0083773C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1B5EE34" wp14:editId="7B8017E1">
            <wp:extent cx="5937250" cy="3092450"/>
            <wp:effectExtent l="0" t="0" r="2540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43AD" w:rsidRDefault="005043AD" w:rsidP="005043AD">
      <w:pPr>
        <w:ind w:firstLine="709"/>
        <w:contextualSpacing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В относительных показателях объем государственного долга в налоговых и неналоговых доходах </w:t>
      </w:r>
      <w:r w:rsidR="00947554">
        <w:rPr>
          <w:rFonts w:ascii="Calibri" w:hAnsi="Calibri" w:cs="Calibri"/>
          <w:sz w:val="26"/>
          <w:szCs w:val="26"/>
        </w:rPr>
        <w:t xml:space="preserve">областного бюджета </w:t>
      </w:r>
      <w:r>
        <w:rPr>
          <w:rFonts w:ascii="Calibri" w:hAnsi="Calibri" w:cs="Calibri"/>
          <w:sz w:val="26"/>
          <w:szCs w:val="26"/>
        </w:rPr>
        <w:t>сократился с 67 % в 2015 году до 11 % в 2026 году</w:t>
      </w:r>
      <w:proofErr w:type="gramStart"/>
      <w:r w:rsidR="00371AFC">
        <w:rPr>
          <w:rFonts w:ascii="Calibri" w:hAnsi="Calibri" w:cs="Calibri"/>
          <w:sz w:val="26"/>
          <w:szCs w:val="26"/>
        </w:rPr>
        <w:t>.</w:t>
      </w:r>
      <w:proofErr w:type="gramEnd"/>
      <w:r w:rsidR="00371AFC">
        <w:rPr>
          <w:rFonts w:ascii="Calibri" w:hAnsi="Calibri" w:cs="Calibri"/>
          <w:sz w:val="26"/>
          <w:szCs w:val="26"/>
        </w:rPr>
        <w:t xml:space="preserve"> С 2021 года Брянская область полностью отказалась от дорогих коммерческих заимствований</w:t>
      </w:r>
      <w:r>
        <w:rPr>
          <w:rFonts w:ascii="Calibri" w:hAnsi="Calibri" w:cs="Calibri"/>
          <w:sz w:val="26"/>
          <w:szCs w:val="26"/>
        </w:rPr>
        <w:t xml:space="preserve">. </w:t>
      </w:r>
      <w:r w:rsidR="00947554">
        <w:rPr>
          <w:rFonts w:ascii="Calibri" w:hAnsi="Calibri" w:cs="Calibri"/>
          <w:sz w:val="26"/>
          <w:szCs w:val="26"/>
        </w:rPr>
        <w:t>По оценке, ежегодно проводимой Минфином России</w:t>
      </w:r>
      <w:r w:rsidR="00594D1D" w:rsidRPr="00594D1D">
        <w:rPr>
          <w:rFonts w:ascii="Calibri" w:hAnsi="Calibri" w:cs="Calibri"/>
          <w:sz w:val="26"/>
          <w:szCs w:val="26"/>
        </w:rPr>
        <w:t xml:space="preserve"> </w:t>
      </w:r>
      <w:r w:rsidR="00594D1D">
        <w:rPr>
          <w:rFonts w:ascii="Calibri" w:hAnsi="Calibri" w:cs="Calibri"/>
          <w:sz w:val="26"/>
          <w:szCs w:val="26"/>
        </w:rPr>
        <w:t>с 2019 года</w:t>
      </w:r>
      <w:r w:rsidR="00947554">
        <w:rPr>
          <w:rFonts w:ascii="Calibri" w:hAnsi="Calibri" w:cs="Calibri"/>
          <w:sz w:val="26"/>
          <w:szCs w:val="26"/>
        </w:rPr>
        <w:t>, Брянская область относится к числу субъектов с высоким уровнем долговой устойчивости</w:t>
      </w:r>
      <w:r w:rsidR="00371AFC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 xml:space="preserve"> </w:t>
      </w:r>
      <w:bookmarkStart w:id="0" w:name="_GoBack"/>
      <w:bookmarkEnd w:id="0"/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5043AD" w:rsidRDefault="005043AD" w:rsidP="0083773C">
      <w:pPr>
        <w:contextualSpacing/>
        <w:jc w:val="both"/>
        <w:rPr>
          <w:rFonts w:ascii="Calibri" w:hAnsi="Calibri" w:cs="Calibri"/>
          <w:sz w:val="26"/>
          <w:szCs w:val="26"/>
        </w:rPr>
      </w:pPr>
    </w:p>
    <w:p w:rsidR="0083773C" w:rsidRPr="003C353D" w:rsidRDefault="0083773C" w:rsidP="00EB7FDC">
      <w:pPr>
        <w:contextualSpacing/>
        <w:jc w:val="both"/>
        <w:rPr>
          <w:rFonts w:ascii="Calibri" w:hAnsi="Calibri" w:cs="Calibri"/>
          <w:sz w:val="28"/>
          <w:szCs w:val="28"/>
        </w:rPr>
      </w:pPr>
    </w:p>
    <w:sectPr w:rsidR="0083773C" w:rsidRPr="003C353D" w:rsidSect="00F10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8E"/>
    <w:rsid w:val="00046453"/>
    <w:rsid w:val="00156E98"/>
    <w:rsid w:val="001F7F7F"/>
    <w:rsid w:val="00371AFC"/>
    <w:rsid w:val="003C353D"/>
    <w:rsid w:val="003D65E6"/>
    <w:rsid w:val="005010E3"/>
    <w:rsid w:val="005043AD"/>
    <w:rsid w:val="00565F96"/>
    <w:rsid w:val="00594D1D"/>
    <w:rsid w:val="006B2DB6"/>
    <w:rsid w:val="007575F1"/>
    <w:rsid w:val="00760373"/>
    <w:rsid w:val="007B13C6"/>
    <w:rsid w:val="007F3D78"/>
    <w:rsid w:val="0083773C"/>
    <w:rsid w:val="00947554"/>
    <w:rsid w:val="00970FCC"/>
    <w:rsid w:val="0097578E"/>
    <w:rsid w:val="009B0B7F"/>
    <w:rsid w:val="00AE2133"/>
    <w:rsid w:val="00B23E86"/>
    <w:rsid w:val="00C811B8"/>
    <w:rsid w:val="00DE3863"/>
    <w:rsid w:val="00EB7FDC"/>
    <w:rsid w:val="00F05CA7"/>
    <w:rsid w:val="00F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OBMEN\&#1043;&#1086;&#1089;&#1091;&#1076;&#1072;&#1088;&#1089;&#1090;&#1074;&#1077;&#1085;&#1085;&#1099;&#1081;%20&#1076;&#1086;&#1083;&#1075;\&#1043;&#1088;&#1072;&#1092;&#1080;&#1082;%20&#1074;%20&#1058;&#1077;&#1083;&#1077;&#1075;&#1088;&#1072;&#108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WCLUSTER\OBMEN\&#1043;&#1086;&#1089;&#1091;&#1076;&#1072;&#1088;&#1089;&#1090;&#1074;&#1077;&#1085;&#1085;&#1099;&#1081;%20&#1076;&#1086;&#1083;&#1075;\--%20tables%20&amp;%20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государственного долга Брянской области в 2025 - 2026 годах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'БК 2025 (6)'!$A$2</c:f>
              <c:strCache>
                <c:ptCount val="1"/>
                <c:pt idx="0">
                  <c:v>Государственный долг, млн. рублей</c:v>
                </c:pt>
              </c:strCache>
            </c:strRef>
          </c:tx>
          <c:spPr>
            <a:gradFill flip="none" rotWithShape="1"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16200000" scaled="1"/>
              <a:tileRect/>
            </a:gradFill>
          </c:spPr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'БК 2025 (6)'!$B$1:$D$1</c:f>
              <c:strCache>
                <c:ptCount val="3"/>
                <c:pt idx="0">
                  <c:v>на 01.01.2025</c:v>
                </c:pt>
                <c:pt idx="1">
                  <c:v>на 01.01.2026</c:v>
                </c:pt>
                <c:pt idx="2">
                  <c:v>на 01.01.2027</c:v>
                </c:pt>
              </c:strCache>
            </c:strRef>
          </c:cat>
          <c:val>
            <c:numRef>
              <c:f>'БК 2025 (6)'!$B$2:$D$2</c:f>
              <c:numCache>
                <c:formatCode>#,##0</c:formatCode>
                <c:ptCount val="3"/>
                <c:pt idx="0">
                  <c:v>13590</c:v>
                </c:pt>
                <c:pt idx="1">
                  <c:v>7602</c:v>
                </c:pt>
                <c:pt idx="2">
                  <c:v>7394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7533952"/>
        <c:axId val="497405888"/>
      </c:barChart>
      <c:lineChart>
        <c:grouping val="standard"/>
        <c:varyColors val="0"/>
        <c:ser>
          <c:idx val="1"/>
          <c:order val="1"/>
          <c:tx>
            <c:strRef>
              <c:f>'БК 2025 (6)'!$A$3</c:f>
              <c:strCache>
                <c:ptCount val="1"/>
                <c:pt idx="0">
                  <c:v>Отношение государственного долга к налоговым и неналоговым доходам областного бюджета</c:v>
                </c:pt>
              </c:strCache>
            </c:strRef>
          </c:tx>
          <c:spPr>
            <a:ln>
              <a:solidFill>
                <a:srgbClr val="00CCFF"/>
              </a:solidFill>
            </a:ln>
          </c:spPr>
          <c:marker>
            <c:spPr>
              <a:pattFill prst="pct80">
                <a:fgClr>
                  <a:srgbClr val="00B0F0"/>
                </a:fgClr>
                <a:bgClr>
                  <a:schemeClr val="bg1"/>
                </a:bgClr>
              </a:pattFill>
              <a:ln>
                <a:solidFill>
                  <a:srgbClr val="00CCFF"/>
                </a:solidFill>
              </a:ln>
            </c:spPr>
          </c:marker>
          <c:dLbls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'БК 2025 (6)'!$B$3:$D$3</c:f>
              <c:numCache>
                <c:formatCode>0%</c:formatCode>
                <c:ptCount val="3"/>
                <c:pt idx="0">
                  <c:v>0.23</c:v>
                </c:pt>
                <c:pt idx="1">
                  <c:v>0.12</c:v>
                </c:pt>
                <c:pt idx="2">
                  <c:v>0.11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622912"/>
        <c:axId val="497404736"/>
      </c:lineChart>
      <c:catAx>
        <c:axId val="49753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7405888"/>
        <c:crosses val="autoZero"/>
        <c:auto val="1"/>
        <c:lblAlgn val="ctr"/>
        <c:lblOffset val="100"/>
        <c:noMultiLvlLbl val="0"/>
      </c:catAx>
      <c:valAx>
        <c:axId val="49740588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7533952"/>
        <c:crosses val="autoZero"/>
        <c:crossBetween val="between"/>
      </c:valAx>
      <c:catAx>
        <c:axId val="499622912"/>
        <c:scaling>
          <c:orientation val="minMax"/>
        </c:scaling>
        <c:delete val="1"/>
        <c:axPos val="b"/>
        <c:majorTickMark val="out"/>
        <c:minorTickMark val="none"/>
        <c:tickLblPos val="nextTo"/>
        <c:crossAx val="497404736"/>
        <c:crosses val="autoZero"/>
        <c:auto val="1"/>
        <c:lblAlgn val="ctr"/>
        <c:lblOffset val="100"/>
        <c:noMultiLvlLbl val="0"/>
      </c:catAx>
      <c:valAx>
        <c:axId val="49740473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9622912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67730642035418942"/>
          <c:y val="0.33977650500107393"/>
          <c:w val="0.31450167715847999"/>
          <c:h val="0.38359958911233194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Динамика государственного долга Брянской области в 2015 - 2026 годах</a:t>
            </a:r>
          </a:p>
        </c:rich>
      </c:tx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параметры!$A$221</c:f>
              <c:strCache>
                <c:ptCount val="1"/>
                <c:pt idx="0">
                  <c:v>кредиты кредитных организаций</c:v>
                </c:pt>
              </c:strCache>
            </c:strRef>
          </c:tx>
          <c:spPr>
            <a:gradFill flip="none" rotWithShape="1">
              <a:gsLst>
                <a:gs pos="0">
                  <a:srgbClr val="000082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16200000" scaled="0"/>
              <a:tileRect/>
            </a:gradFill>
          </c:spPr>
          <c:invertIfNegative val="0"/>
          <c:cat>
            <c:strRef>
              <c:f>параметры!$C$219:$N$219</c:f>
              <c:strCache>
                <c:ptCount val="12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  <c:pt idx="10">
                  <c:v>2025 год</c:v>
                </c:pt>
                <c:pt idx="11">
                  <c:v>2026 год</c:v>
                </c:pt>
              </c:strCache>
            </c:strRef>
          </c:cat>
          <c:val>
            <c:numRef>
              <c:f>параметры!$C$221:$N$221</c:f>
              <c:numCache>
                <c:formatCode>#,##0.00</c:formatCode>
                <c:ptCount val="12"/>
                <c:pt idx="0">
                  <c:v>8384420</c:v>
                </c:pt>
                <c:pt idx="1">
                  <c:v>4838580</c:v>
                </c:pt>
                <c:pt idx="2">
                  <c:v>4101760</c:v>
                </c:pt>
                <c:pt idx="3">
                  <c:v>3001110</c:v>
                </c:pt>
                <c:pt idx="4">
                  <c:v>3000000</c:v>
                </c:pt>
                <c:pt idx="5">
                  <c:v>594030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параметры!$A$222</c:f>
              <c:strCache>
                <c:ptCount val="1"/>
                <c:pt idx="0">
                  <c:v>бюджетные кредиты</c:v>
                </c:pt>
              </c:strCache>
            </c:strRef>
          </c:tx>
          <c:spPr>
            <a:gradFill flip="none" rotWithShape="1">
              <a:gsLst>
                <a:gs pos="0">
                  <a:srgbClr val="207831"/>
                </a:gs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16200000" scaled="1"/>
              <a:tileRect/>
            </a:gradFill>
          </c:spPr>
          <c:invertIfNegative val="0"/>
          <c:cat>
            <c:strRef>
              <c:f>параметры!$C$219:$N$219</c:f>
              <c:strCache>
                <c:ptCount val="12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  <c:pt idx="10">
                  <c:v>2025 год</c:v>
                </c:pt>
                <c:pt idx="11">
                  <c:v>2026 год</c:v>
                </c:pt>
              </c:strCache>
            </c:strRef>
          </c:cat>
          <c:val>
            <c:numRef>
              <c:f>параметры!$C$222:$N$222</c:f>
              <c:numCache>
                <c:formatCode>#,##0.00</c:formatCode>
                <c:ptCount val="12"/>
                <c:pt idx="0">
                  <c:v>4318480</c:v>
                </c:pt>
                <c:pt idx="1">
                  <c:v>8150050</c:v>
                </c:pt>
                <c:pt idx="2">
                  <c:v>7645890</c:v>
                </c:pt>
                <c:pt idx="3">
                  <c:v>7295450</c:v>
                </c:pt>
                <c:pt idx="4">
                  <c:v>6945010</c:v>
                </c:pt>
                <c:pt idx="5">
                  <c:v>8150980</c:v>
                </c:pt>
                <c:pt idx="6">
                  <c:v>7740240</c:v>
                </c:pt>
                <c:pt idx="7">
                  <c:v>11061620</c:v>
                </c:pt>
                <c:pt idx="8">
                  <c:v>14028930</c:v>
                </c:pt>
                <c:pt idx="9">
                  <c:v>13589600</c:v>
                </c:pt>
                <c:pt idx="10">
                  <c:v>7601864</c:v>
                </c:pt>
                <c:pt idx="11">
                  <c:v>7394032</c:v>
                </c:pt>
              </c:numCache>
            </c:numRef>
          </c:val>
        </c:ser>
        <c:ser>
          <c:idx val="2"/>
          <c:order val="2"/>
          <c:tx>
            <c:strRef>
              <c:f>параметры!$A$223</c:f>
              <c:strCache>
                <c:ptCount val="1"/>
                <c:pt idx="0">
                  <c:v>государственные гарантии</c:v>
                </c:pt>
              </c:strCache>
            </c:strRef>
          </c:tx>
          <c:spPr>
            <a:solidFill>
              <a:srgbClr val="4201E5"/>
            </a:solidFill>
          </c:spPr>
          <c:invertIfNegative val="0"/>
          <c:cat>
            <c:strRef>
              <c:f>параметры!$C$219:$N$219</c:f>
              <c:strCache>
                <c:ptCount val="12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  <c:pt idx="10">
                  <c:v>2025 год</c:v>
                </c:pt>
                <c:pt idx="11">
                  <c:v>2026 год</c:v>
                </c:pt>
              </c:strCache>
            </c:strRef>
          </c:cat>
          <c:val>
            <c:numRef>
              <c:f>параметры!$C$223:$N$223</c:f>
              <c:numCache>
                <c:formatCode>#,##0.00</c:formatCode>
                <c:ptCount val="12"/>
                <c:pt idx="0">
                  <c:v>150600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2581120"/>
        <c:axId val="503419968"/>
      </c:barChart>
      <c:lineChart>
        <c:grouping val="standard"/>
        <c:varyColors val="0"/>
        <c:ser>
          <c:idx val="3"/>
          <c:order val="3"/>
          <c:tx>
            <c:strRef>
              <c:f>параметры!$A$224</c:f>
              <c:strCache>
                <c:ptCount val="1"/>
                <c:pt idx="0">
                  <c:v>отношение долга к собственным доходам</c:v>
                </c:pt>
              </c:strCache>
            </c:strRef>
          </c:tx>
          <c:spPr>
            <a:ln>
              <a:solidFill>
                <a:srgbClr val="00CCFF"/>
              </a:solidFill>
            </a:ln>
          </c:spPr>
          <c:marker>
            <c:symbol val="square"/>
            <c:size val="7"/>
            <c:spPr>
              <a:pattFill prst="pct90">
                <a:fgClr>
                  <a:srgbClr val="00B0F0"/>
                </a:fgClr>
                <a:bgClr>
                  <a:schemeClr val="bg1"/>
                </a:bgClr>
              </a:pattFill>
              <a:ln cap="sq">
                <a:gradFill>
                  <a:gsLst>
                    <a:gs pos="0">
                      <a:srgbClr val="00CCFF"/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</c:marker>
          <c:cat>
            <c:strRef>
              <c:f>параметры!$C$219:$N$219</c:f>
              <c:strCache>
                <c:ptCount val="12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  <c:pt idx="10">
                  <c:v>2025 год</c:v>
                </c:pt>
                <c:pt idx="11">
                  <c:v>2026 год</c:v>
                </c:pt>
              </c:strCache>
            </c:strRef>
          </c:cat>
          <c:val>
            <c:numRef>
              <c:f>параметры!$C$224:$N$224</c:f>
              <c:numCache>
                <c:formatCode>0.0%</c:formatCode>
                <c:ptCount val="12"/>
                <c:pt idx="0">
                  <c:v>0.67293088086016206</c:v>
                </c:pt>
                <c:pt idx="1">
                  <c:v>0.55569816699520069</c:v>
                </c:pt>
                <c:pt idx="2">
                  <c:v>0.4700379302462615</c:v>
                </c:pt>
                <c:pt idx="3">
                  <c:v>0.37506606373292029</c:v>
                </c:pt>
                <c:pt idx="4">
                  <c:v>0.33586125664802835</c:v>
                </c:pt>
                <c:pt idx="5">
                  <c:v>0.28920693200278236</c:v>
                </c:pt>
                <c:pt idx="6">
                  <c:v>0.20337322127518517</c:v>
                </c:pt>
                <c:pt idx="7">
                  <c:v>0.24392089203051404</c:v>
                </c:pt>
                <c:pt idx="8">
                  <c:v>0.25816861897575871</c:v>
                </c:pt>
                <c:pt idx="9">
                  <c:v>0.22832805965119282</c:v>
                </c:pt>
                <c:pt idx="10">
                  <c:v>0.11959354019085816</c:v>
                </c:pt>
                <c:pt idx="11">
                  <c:v>0.111065687634528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5733760"/>
        <c:axId val="505809152"/>
      </c:lineChart>
      <c:catAx>
        <c:axId val="472581120"/>
        <c:scaling>
          <c:orientation val="minMax"/>
        </c:scaling>
        <c:delete val="0"/>
        <c:axPos val="b"/>
        <c:majorTickMark val="out"/>
        <c:minorTickMark val="none"/>
        <c:tickLblPos val="nextTo"/>
        <c:crossAx val="503419968"/>
        <c:crosses val="autoZero"/>
        <c:auto val="1"/>
        <c:lblAlgn val="ctr"/>
        <c:lblOffset val="100"/>
        <c:noMultiLvlLbl val="0"/>
      </c:catAx>
      <c:valAx>
        <c:axId val="503419968"/>
        <c:scaling>
          <c:orientation val="minMax"/>
        </c:scaling>
        <c:delete val="0"/>
        <c:axPos val="l"/>
        <c:numFmt formatCode="#,##0.00," sourceLinked="0"/>
        <c:majorTickMark val="out"/>
        <c:minorTickMark val="none"/>
        <c:tickLblPos val="nextTo"/>
        <c:crossAx val="472581120"/>
        <c:crosses val="autoZero"/>
        <c:crossBetween val="between"/>
      </c:valAx>
      <c:valAx>
        <c:axId val="505809152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crossAx val="495733760"/>
        <c:crosses val="max"/>
        <c:crossBetween val="between"/>
      </c:valAx>
      <c:catAx>
        <c:axId val="495733760"/>
        <c:scaling>
          <c:orientation val="minMax"/>
        </c:scaling>
        <c:delete val="1"/>
        <c:axPos val="b"/>
        <c:majorTickMark val="out"/>
        <c:minorTickMark val="none"/>
        <c:tickLblPos val="nextTo"/>
        <c:crossAx val="505809152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Гукалина Е.В.</dc:creator>
  <cp:lastModifiedBy>Гукалина Е.В.</cp:lastModifiedBy>
  <cp:revision>10</cp:revision>
  <cp:lastPrinted>2026-01-13T07:03:00Z</cp:lastPrinted>
  <dcterms:created xsi:type="dcterms:W3CDTF">2026-01-13T11:06:00Z</dcterms:created>
  <dcterms:modified xsi:type="dcterms:W3CDTF">2026-01-13T15:32:00Z</dcterms:modified>
</cp:coreProperties>
</file>